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contextualSpacing/>
        <w:jc w:val="center"/>
        <w:rPr>
          <w:rFonts w:ascii="Times New Roman" w:hAnsi="Times New Roman" w:cs="Times New Roman"/>
          <w:sz w:val="24"/>
          <w:szCs w:val="24"/>
        </w:rPr>
      </w:pPr>
    </w:p>
    <w:p w:rsidR="002A51E2" w:rsidRPr="002A51E2" w:rsidRDefault="002A51E2" w:rsidP="002A51E2">
      <w:pPr>
        <w:spacing w:after="0" w:line="480" w:lineRule="auto"/>
        <w:contextualSpacing/>
        <w:jc w:val="center"/>
        <w:rPr>
          <w:rFonts w:ascii="Times New Roman" w:hAnsi="Times New Roman" w:cs="Times New Roman"/>
          <w:sz w:val="24"/>
          <w:szCs w:val="24"/>
        </w:rPr>
      </w:pPr>
      <w:r w:rsidRPr="002A51E2">
        <w:rPr>
          <w:rFonts w:ascii="Times New Roman" w:hAnsi="Times New Roman" w:cs="Times New Roman"/>
          <w:sz w:val="24"/>
          <w:szCs w:val="24"/>
        </w:rPr>
        <w:t>The Connective Company</w:t>
      </w:r>
    </w:p>
    <w:p w:rsidR="002A51E2" w:rsidRPr="002A51E2" w:rsidRDefault="002A51E2" w:rsidP="002A51E2">
      <w:pPr>
        <w:spacing w:after="0" w:line="480" w:lineRule="auto"/>
        <w:contextualSpacing/>
        <w:jc w:val="center"/>
        <w:rPr>
          <w:rFonts w:ascii="Times New Roman" w:hAnsi="Times New Roman" w:cs="Times New Roman"/>
          <w:sz w:val="24"/>
          <w:szCs w:val="24"/>
        </w:rPr>
      </w:pPr>
      <w:r w:rsidRPr="002A51E2">
        <w:rPr>
          <w:rFonts w:ascii="Times New Roman" w:hAnsi="Times New Roman" w:cs="Times New Roman"/>
          <w:sz w:val="24"/>
          <w:szCs w:val="24"/>
        </w:rPr>
        <w:t>Name of student</w:t>
      </w:r>
    </w:p>
    <w:p w:rsidR="002A51E2" w:rsidRPr="002A51E2" w:rsidRDefault="002A51E2" w:rsidP="002A51E2">
      <w:pPr>
        <w:spacing w:after="0" w:line="480" w:lineRule="auto"/>
        <w:contextualSpacing/>
        <w:jc w:val="center"/>
        <w:rPr>
          <w:rFonts w:ascii="Times New Roman" w:hAnsi="Times New Roman" w:cs="Times New Roman"/>
          <w:sz w:val="24"/>
          <w:szCs w:val="24"/>
        </w:rPr>
      </w:pPr>
      <w:r w:rsidRPr="002A51E2">
        <w:rPr>
          <w:rFonts w:ascii="Times New Roman" w:hAnsi="Times New Roman" w:cs="Times New Roman"/>
          <w:sz w:val="24"/>
          <w:szCs w:val="24"/>
        </w:rPr>
        <w:t>Institution</w:t>
      </w: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Default="002A51E2" w:rsidP="002A51E2">
      <w:pPr>
        <w:spacing w:after="0" w:line="480" w:lineRule="auto"/>
        <w:jc w:val="center"/>
        <w:rPr>
          <w:rFonts w:ascii="Times New Roman" w:hAnsi="Times New Roman" w:cs="Times New Roman"/>
          <w:sz w:val="24"/>
          <w:szCs w:val="24"/>
        </w:rPr>
      </w:pPr>
    </w:p>
    <w:p w:rsidR="002A51E2" w:rsidRPr="003D2934" w:rsidRDefault="002A51E2" w:rsidP="003D2934">
      <w:pPr>
        <w:spacing w:after="0" w:line="480" w:lineRule="auto"/>
        <w:ind w:firstLine="720"/>
        <w:contextualSpacing/>
        <w:jc w:val="center"/>
        <w:rPr>
          <w:rFonts w:ascii="Times New Roman" w:hAnsi="Times New Roman" w:cs="Times New Roman"/>
          <w:sz w:val="24"/>
          <w:szCs w:val="24"/>
        </w:rPr>
      </w:pPr>
      <w:r w:rsidRPr="003D2934">
        <w:rPr>
          <w:rFonts w:ascii="Times New Roman" w:hAnsi="Times New Roman" w:cs="Times New Roman"/>
          <w:sz w:val="24"/>
          <w:szCs w:val="24"/>
        </w:rPr>
        <w:lastRenderedPageBreak/>
        <w:t xml:space="preserve">The </w:t>
      </w:r>
      <w:r w:rsidR="003D2934" w:rsidRPr="003D2934">
        <w:rPr>
          <w:rFonts w:ascii="Times New Roman" w:hAnsi="Times New Roman" w:cs="Times New Roman"/>
          <w:sz w:val="24"/>
          <w:szCs w:val="24"/>
        </w:rPr>
        <w:t>Connective Company</w:t>
      </w:r>
    </w:p>
    <w:p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 xml:space="preserve">The connective company is one of the fastest growing companies in the brokerage sector. This fact gets justified by the number of companies that are signing up to be partners. Operations of brokerage companies heavily rely on the physical and online presence in the market. It is merely the best way that buyers and sellers may see the need for the service. Any company's traditional strategies of sourcing products or services heavily rely on research, a gap that The Connective company fills offering ready-made clients inform of partners (Fleisher &amp; Bensoussan, 2015). The market is tightknit, and its expansion model depends on referrals from previous or present. A clear dissection from a business perspective indicates that this model has many variables that can hinder the growth of a company more than it can facilitate it. Customer satisfaction is an essential factor in ensuring that the brand is visible and the referrals are positive. Any dissatisfaction to clients halts the company's plan of acquiring more clients. </w:t>
      </w:r>
    </w:p>
    <w:p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Currently, the connective company links small and medium business companies. There is an ongoing campaign to design and implement strategies that will enroll big companies as partners. It is only through big partners that big clients will request for the connective services. This tactic is also essential in enhancing the visibility of the brand. Operations need to be delocalized and emulate the models of competitors that operate on a continental and global stage (Viswanadham, 2018). The size of a company gets measured by the customer base it has and the market share it controls. For this factor to get ascertained, the former clients of the company plus the services or products it offered must be critically analyzed. According to the strength, weakness, opportunity and threat model of the company, the connective cannot ascertain all the named variables. The vetting process of the connective cannot guarantee the suitability of the incoming partners. For assurance, the connective can connect the company to small-sized clients and assess the satisfaction percentage of the products or goods it received.</w:t>
      </w:r>
    </w:p>
    <w:p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Revenue streams of the connective company are not steady to raise the company again in case of financial crisis. First, the company only relies on its clients to pay for the connection service they received. A setback in this scenario is that if a client is dissatisfied he or she may not come back for more connections or even refer anyone else. This aspect is critical because it can decrease the market share of the company. All the partners that have enrolled in the connective company need to pay either a monthly, weekly, biannual or annual commission to remain on the web (Viswanadham, 2018). This strategy may also motivate the partners to offers the best quality of products and services they offer. The connective does not charge a fixed commission for business deals it seals. There is the aspect of commission fixing, and this destabilizes the finances of the company. For a steady income, the company should charge 25 percent of the cost of sealed business deals no matter the size of the companies linking up.</w:t>
      </w:r>
    </w:p>
    <w:p w:rsidR="00CE02D7"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Technology may have revolutionized the business operations of many companies, but most of them still rely on referrals and recommendations for growth. It is the main reason why most companies emphasize on customer satisfaction. That said, all the companies operating under The Connective web are willing to give a share of their profits to the connective company as long as they get the guarantee of steady client flow (Fleisher &amp; Bensoussan, 2015). For this plan to work, the client's feedback should dictate the operations of the company. Prioritization of all their suggestions should be paramount. Goodwill, trust, and credibility are the three elements that should matter in all the company's dealings to motivate the partners and clients to pay the stipulated commissions when deals are a success.</w:t>
      </w:r>
    </w:p>
    <w:p w:rsidR="002A51E2" w:rsidRDefault="002A51E2" w:rsidP="002A51E2">
      <w:pPr>
        <w:spacing w:after="0" w:line="480" w:lineRule="auto"/>
        <w:rPr>
          <w:rFonts w:ascii="Times New Roman" w:hAnsi="Times New Roman" w:cs="Times New Roman"/>
          <w:sz w:val="24"/>
          <w:szCs w:val="24"/>
        </w:rPr>
      </w:pPr>
    </w:p>
    <w:p w:rsidR="002A51E2" w:rsidRPr="002A51E2" w:rsidRDefault="002A51E2" w:rsidP="002A51E2">
      <w:pPr>
        <w:spacing w:after="0" w:line="480" w:lineRule="auto"/>
        <w:jc w:val="center"/>
        <w:rPr>
          <w:rFonts w:ascii="Times New Roman" w:hAnsi="Times New Roman" w:cs="Times New Roman"/>
          <w:sz w:val="24"/>
          <w:szCs w:val="24"/>
        </w:rPr>
      </w:pPr>
      <w:r w:rsidRPr="002A51E2">
        <w:rPr>
          <w:rFonts w:ascii="Times New Roman" w:hAnsi="Times New Roman" w:cs="Times New Roman"/>
          <w:sz w:val="24"/>
          <w:szCs w:val="24"/>
        </w:rPr>
        <w:t>References</w:t>
      </w:r>
    </w:p>
    <w:p w:rsidR="002A51E2" w:rsidRPr="002A51E2" w:rsidRDefault="002A51E2" w:rsidP="005635F3">
      <w:pPr>
        <w:spacing w:after="0" w:line="480" w:lineRule="auto"/>
        <w:ind w:left="720" w:hanging="720"/>
        <w:contextualSpacing/>
        <w:rPr>
          <w:rFonts w:ascii="Times New Roman" w:hAnsi="Times New Roman" w:cs="Times New Roman"/>
          <w:sz w:val="24"/>
          <w:szCs w:val="24"/>
        </w:rPr>
      </w:pPr>
      <w:r w:rsidRPr="002A51E2">
        <w:rPr>
          <w:rFonts w:ascii="Times New Roman" w:hAnsi="Times New Roman" w:cs="Times New Roman"/>
          <w:sz w:val="24"/>
          <w:szCs w:val="24"/>
        </w:rPr>
        <w:t xml:space="preserve">Fleisher, C. S., &amp; Bensoussan, B. E. (2015). Business and </w:t>
      </w:r>
      <w:r w:rsidR="005635F3">
        <w:rPr>
          <w:rFonts w:ascii="Times New Roman" w:hAnsi="Times New Roman" w:cs="Times New Roman"/>
          <w:sz w:val="24"/>
          <w:szCs w:val="24"/>
        </w:rPr>
        <w:t xml:space="preserve">competitive analysis: effective </w:t>
      </w:r>
      <w:r w:rsidRPr="002A51E2">
        <w:rPr>
          <w:rFonts w:ascii="Times New Roman" w:hAnsi="Times New Roman" w:cs="Times New Roman"/>
          <w:sz w:val="24"/>
          <w:szCs w:val="24"/>
        </w:rPr>
        <w:t xml:space="preserve">application of new and classic methods. FT Press. </w:t>
      </w:r>
    </w:p>
    <w:p w:rsidR="002A51E2" w:rsidRPr="002A51E2" w:rsidRDefault="002A51E2" w:rsidP="005635F3">
      <w:pPr>
        <w:spacing w:after="0" w:line="480" w:lineRule="auto"/>
        <w:ind w:left="720" w:hanging="720"/>
        <w:contextualSpacing/>
        <w:rPr>
          <w:rFonts w:ascii="Times New Roman" w:hAnsi="Times New Roman" w:cs="Times New Roman"/>
          <w:sz w:val="24"/>
          <w:szCs w:val="24"/>
        </w:rPr>
      </w:pPr>
      <w:r w:rsidRPr="002A51E2">
        <w:rPr>
          <w:rFonts w:ascii="Times New Roman" w:hAnsi="Times New Roman" w:cs="Times New Roman"/>
          <w:sz w:val="24"/>
          <w:szCs w:val="24"/>
        </w:rPr>
        <w:t>Viswanadham, N. (2018). Performance analysis a</w:t>
      </w:r>
      <w:bookmarkStart w:id="0" w:name="_GoBack"/>
      <w:bookmarkEnd w:id="0"/>
      <w:r w:rsidRPr="002A51E2">
        <w:rPr>
          <w:rFonts w:ascii="Times New Roman" w:hAnsi="Times New Roman" w:cs="Times New Roman"/>
          <w:sz w:val="24"/>
          <w:szCs w:val="24"/>
        </w:rPr>
        <w:t xml:space="preserve">nd design </w:t>
      </w:r>
      <w:r w:rsidR="005635F3">
        <w:rPr>
          <w:rFonts w:ascii="Times New Roman" w:hAnsi="Times New Roman" w:cs="Times New Roman"/>
          <w:sz w:val="24"/>
          <w:szCs w:val="24"/>
        </w:rPr>
        <w:t xml:space="preserve">of competitive business models. </w:t>
      </w:r>
      <w:r w:rsidRPr="002A51E2">
        <w:rPr>
          <w:rFonts w:ascii="Times New Roman" w:hAnsi="Times New Roman" w:cs="Times New Roman"/>
          <w:sz w:val="24"/>
          <w:szCs w:val="24"/>
        </w:rPr>
        <w:t>International Journal of Production Research, 56(1-2), 983-999.</w:t>
      </w:r>
    </w:p>
    <w:sectPr w:rsidR="002A51E2" w:rsidRPr="002A51E2" w:rsidSect="002A51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7E1" w:rsidRDefault="009F77E1" w:rsidP="002A51E2">
      <w:pPr>
        <w:spacing w:after="0" w:line="240" w:lineRule="auto"/>
      </w:pPr>
      <w:r>
        <w:separator/>
      </w:r>
    </w:p>
  </w:endnote>
  <w:endnote w:type="continuationSeparator" w:id="0">
    <w:p w:rsidR="009F77E1" w:rsidRDefault="009F77E1" w:rsidP="002A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7E1" w:rsidRDefault="009F77E1" w:rsidP="002A51E2">
      <w:pPr>
        <w:spacing w:after="0" w:line="240" w:lineRule="auto"/>
      </w:pPr>
      <w:r>
        <w:separator/>
      </w:r>
    </w:p>
  </w:footnote>
  <w:footnote w:type="continuationSeparator" w:id="0">
    <w:p w:rsidR="009F77E1" w:rsidRDefault="009F77E1" w:rsidP="002A5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1E2" w:rsidRPr="002A51E2" w:rsidRDefault="002A51E2" w:rsidP="002A51E2">
    <w:pPr>
      <w:pStyle w:val="Header"/>
      <w:jc w:val="right"/>
      <w:rPr>
        <w:rFonts w:ascii="Times New Roman" w:hAnsi="Times New Roman" w:cs="Times New Roman"/>
        <w:sz w:val="24"/>
      </w:rPr>
    </w:pPr>
    <w:r w:rsidRPr="002A51E2">
      <w:rPr>
        <w:rFonts w:ascii="Times New Roman" w:hAnsi="Times New Roman" w:cs="Times New Roman"/>
        <w:sz w:val="24"/>
      </w:rPr>
      <w:t>PRICING STRATEGIES</w:t>
    </w:r>
    <w:r w:rsidRPr="002A51E2">
      <w:rPr>
        <w:rFonts w:ascii="Times New Roman" w:hAnsi="Times New Roman" w:cs="Times New Roman"/>
        <w:sz w:val="24"/>
      </w:rPr>
      <w:tab/>
    </w:r>
    <w:r w:rsidRPr="002A51E2">
      <w:rPr>
        <w:rFonts w:ascii="Times New Roman" w:hAnsi="Times New Roman" w:cs="Times New Roman"/>
        <w:sz w:val="24"/>
      </w:rPr>
      <w:tab/>
    </w:r>
    <w:sdt>
      <w:sdtPr>
        <w:rPr>
          <w:rFonts w:ascii="Times New Roman" w:hAnsi="Times New Roman" w:cs="Times New Roman"/>
          <w:sz w:val="24"/>
        </w:rPr>
        <w:id w:val="886371801"/>
        <w:docPartObj>
          <w:docPartGallery w:val="Page Numbers (Top of Page)"/>
          <w:docPartUnique/>
        </w:docPartObj>
      </w:sdtPr>
      <w:sdtEndPr>
        <w:rPr>
          <w:noProof/>
        </w:rPr>
      </w:sdtEndPr>
      <w:sdtContent>
        <w:r w:rsidRPr="002A51E2">
          <w:rPr>
            <w:rFonts w:ascii="Times New Roman" w:hAnsi="Times New Roman" w:cs="Times New Roman"/>
            <w:sz w:val="24"/>
          </w:rPr>
          <w:fldChar w:fldCharType="begin"/>
        </w:r>
        <w:r w:rsidRPr="002A51E2">
          <w:rPr>
            <w:rFonts w:ascii="Times New Roman" w:hAnsi="Times New Roman" w:cs="Times New Roman"/>
            <w:sz w:val="24"/>
          </w:rPr>
          <w:instrText xml:space="preserve"> PAGE   \* MERGEFORMAT </w:instrText>
        </w:r>
        <w:r w:rsidRPr="002A51E2">
          <w:rPr>
            <w:rFonts w:ascii="Times New Roman" w:hAnsi="Times New Roman" w:cs="Times New Roman"/>
            <w:sz w:val="24"/>
          </w:rPr>
          <w:fldChar w:fldCharType="separate"/>
        </w:r>
        <w:r w:rsidR="005635F3">
          <w:rPr>
            <w:rFonts w:ascii="Times New Roman" w:hAnsi="Times New Roman" w:cs="Times New Roman"/>
            <w:noProof/>
            <w:sz w:val="24"/>
          </w:rPr>
          <w:t>3</w:t>
        </w:r>
        <w:r w:rsidRPr="002A51E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1E2" w:rsidRPr="002A51E2" w:rsidRDefault="002A51E2" w:rsidP="002A51E2">
    <w:pPr>
      <w:pStyle w:val="Header"/>
      <w:jc w:val="right"/>
      <w:rPr>
        <w:rFonts w:ascii="Times New Roman" w:hAnsi="Times New Roman" w:cs="Times New Roman"/>
        <w:sz w:val="24"/>
        <w:szCs w:val="24"/>
      </w:rPr>
    </w:pPr>
    <w:r w:rsidRPr="002A51E2">
      <w:rPr>
        <w:rFonts w:ascii="Times New Roman" w:hAnsi="Times New Roman" w:cs="Times New Roman"/>
        <w:sz w:val="24"/>
        <w:szCs w:val="24"/>
      </w:rPr>
      <w:t>Running Head: PRICING STRATEGIES</w:t>
    </w:r>
    <w:r w:rsidRPr="002A51E2">
      <w:rPr>
        <w:rFonts w:ascii="Times New Roman" w:hAnsi="Times New Roman" w:cs="Times New Roman"/>
        <w:sz w:val="24"/>
        <w:szCs w:val="24"/>
      </w:rPr>
      <w:tab/>
    </w:r>
    <w:r w:rsidRPr="002A51E2">
      <w:rPr>
        <w:rFonts w:ascii="Times New Roman" w:hAnsi="Times New Roman" w:cs="Times New Roman"/>
        <w:sz w:val="24"/>
        <w:szCs w:val="24"/>
      </w:rPr>
      <w:tab/>
    </w:r>
    <w:sdt>
      <w:sdtPr>
        <w:rPr>
          <w:rFonts w:ascii="Times New Roman" w:hAnsi="Times New Roman" w:cs="Times New Roman"/>
          <w:sz w:val="24"/>
          <w:szCs w:val="24"/>
        </w:rPr>
        <w:id w:val="1803813973"/>
        <w:docPartObj>
          <w:docPartGallery w:val="Page Numbers (Top of Page)"/>
          <w:docPartUnique/>
        </w:docPartObj>
      </w:sdtPr>
      <w:sdtEndPr>
        <w:rPr>
          <w:noProof/>
        </w:rPr>
      </w:sdtEndPr>
      <w:sdtContent>
        <w:r w:rsidRPr="002A51E2">
          <w:rPr>
            <w:rFonts w:ascii="Times New Roman" w:hAnsi="Times New Roman" w:cs="Times New Roman"/>
            <w:sz w:val="24"/>
            <w:szCs w:val="24"/>
          </w:rPr>
          <w:fldChar w:fldCharType="begin"/>
        </w:r>
        <w:r w:rsidRPr="002A51E2">
          <w:rPr>
            <w:rFonts w:ascii="Times New Roman" w:hAnsi="Times New Roman" w:cs="Times New Roman"/>
            <w:sz w:val="24"/>
            <w:szCs w:val="24"/>
          </w:rPr>
          <w:instrText xml:space="preserve"> PAGE   \* MERGEFORMAT </w:instrText>
        </w:r>
        <w:r w:rsidRPr="002A51E2">
          <w:rPr>
            <w:rFonts w:ascii="Times New Roman" w:hAnsi="Times New Roman" w:cs="Times New Roman"/>
            <w:sz w:val="24"/>
            <w:szCs w:val="24"/>
          </w:rPr>
          <w:fldChar w:fldCharType="separate"/>
        </w:r>
        <w:r w:rsidR="009F77E1">
          <w:rPr>
            <w:rFonts w:ascii="Times New Roman" w:hAnsi="Times New Roman" w:cs="Times New Roman"/>
            <w:noProof/>
            <w:sz w:val="24"/>
            <w:szCs w:val="24"/>
          </w:rPr>
          <w:t>1</w:t>
        </w:r>
        <w:r w:rsidRPr="002A51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zUyMDEwszCwsDRT0lEKTi0uzszPAykwrAUAQUd6wCwAAAA="/>
  </w:docVars>
  <w:rsids>
    <w:rsidRoot w:val="00A2113A"/>
    <w:rsid w:val="002A51E2"/>
    <w:rsid w:val="003D2934"/>
    <w:rsid w:val="00462C81"/>
    <w:rsid w:val="005635F3"/>
    <w:rsid w:val="006247B7"/>
    <w:rsid w:val="009F77E1"/>
    <w:rsid w:val="00A2113A"/>
    <w:rsid w:val="00B77511"/>
    <w:rsid w:val="00C373DA"/>
    <w:rsid w:val="00CB6D57"/>
    <w:rsid w:val="00CE02D7"/>
    <w:rsid w:val="00DF6E06"/>
    <w:rsid w:val="00E66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E2"/>
  </w:style>
  <w:style w:type="paragraph" w:styleId="Footer">
    <w:name w:val="footer"/>
    <w:basedOn w:val="Normal"/>
    <w:link w:val="FooterChar"/>
    <w:uiPriority w:val="99"/>
    <w:unhideWhenUsed/>
    <w:rsid w:val="002A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E2"/>
  </w:style>
  <w:style w:type="paragraph" w:styleId="Footer">
    <w:name w:val="footer"/>
    <w:basedOn w:val="Normal"/>
    <w:link w:val="FooterChar"/>
    <w:uiPriority w:val="99"/>
    <w:unhideWhenUsed/>
    <w:rsid w:val="002A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3</cp:revision>
  <dcterms:created xsi:type="dcterms:W3CDTF">2019-02-19T18:41:00Z</dcterms:created>
  <dcterms:modified xsi:type="dcterms:W3CDTF">2019-02-19T18:41:00Z</dcterms:modified>
</cp:coreProperties>
</file>